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BF224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</w:rPr>
      </w:pPr>
      <w:bookmarkStart w:id="0" w:name="_Toc15197"/>
      <w:r>
        <w:rPr>
          <w:rFonts w:hint="eastAsia" w:asciiTheme="minorEastAsia" w:hAnsiTheme="minorEastAsia" w:eastAsiaTheme="minorEastAsia"/>
          <w:b/>
          <w:sz w:val="28"/>
        </w:rPr>
        <w:t>第三章  采购需求</w:t>
      </w:r>
      <w:bookmarkEnd w:id="0"/>
    </w:p>
    <w:p w14:paraId="294516F0">
      <w:pPr>
        <w:spacing w:line="360" w:lineRule="auto"/>
        <w:rPr>
          <w:rFonts w:hint="eastAsia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 w14:paraId="5A8DB01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</w:rPr>
      </w:pPr>
      <w:r>
        <w:rPr>
          <w:rFonts w:hint="eastAsia" w:asciiTheme="minorEastAsia" w:hAnsiTheme="minorEastAsia" w:eastAsiaTheme="minorEastAsia"/>
          <w:sz w:val="24"/>
        </w:rPr>
        <w:t>1.</w:t>
      </w:r>
      <w:r>
        <w:rPr>
          <w:rFonts w:ascii="宋体" w:hAnsi="宋体" w:eastAsia="宋体"/>
          <w:sz w:val="24"/>
          <w:szCs w:val="18"/>
        </w:rPr>
        <w:t>根据《</w:t>
      </w:r>
      <w:r>
        <w:rPr>
          <w:rFonts w:hint="eastAsia" w:ascii="宋体" w:hAnsi="宋体" w:eastAsia="宋体"/>
          <w:sz w:val="24"/>
          <w:szCs w:val="18"/>
        </w:rPr>
        <w:t>政府采购进口产品管理办法</w:t>
      </w:r>
      <w:r>
        <w:rPr>
          <w:rFonts w:ascii="宋体" w:hAnsi="宋体" w:eastAsia="宋体"/>
          <w:sz w:val="24"/>
          <w:szCs w:val="18"/>
        </w:rPr>
        <w:t>》及政府采购管理部门的相关规定，下列采购需求中</w:t>
      </w:r>
      <w:r>
        <w:rPr>
          <w:rFonts w:hint="eastAsia" w:ascii="宋体" w:hAnsi="宋体" w:eastAsia="宋体"/>
          <w:sz w:val="24"/>
          <w:szCs w:val="18"/>
        </w:rPr>
        <w:t>标注进口产品的货物均</w:t>
      </w:r>
      <w:r>
        <w:rPr>
          <w:rFonts w:ascii="宋体" w:hAnsi="宋体" w:eastAsia="宋体"/>
          <w:sz w:val="24"/>
          <w:szCs w:val="18"/>
        </w:rPr>
        <w:t>已履行相关论证手续，经核准采购进口</w:t>
      </w:r>
      <w:r>
        <w:rPr>
          <w:rFonts w:hint="eastAsia" w:ascii="宋体" w:hAnsi="宋体" w:eastAsia="宋体"/>
          <w:sz w:val="24"/>
          <w:szCs w:val="18"/>
        </w:rPr>
        <w:t>产品</w:t>
      </w:r>
      <w:r>
        <w:rPr>
          <w:rFonts w:ascii="宋体" w:hAnsi="宋体" w:eastAsia="宋体"/>
          <w:sz w:val="24"/>
          <w:szCs w:val="18"/>
        </w:rPr>
        <w:t>，但不限制满足</w:t>
      </w:r>
      <w:r>
        <w:rPr>
          <w:rFonts w:hint="eastAsia" w:ascii="宋体" w:hAnsi="宋体" w:eastAsia="宋体"/>
          <w:sz w:val="24"/>
          <w:szCs w:val="18"/>
        </w:rPr>
        <w:t>谈判</w:t>
      </w:r>
      <w:r>
        <w:rPr>
          <w:rFonts w:ascii="宋体" w:hAnsi="宋体" w:eastAsia="宋体"/>
          <w:sz w:val="24"/>
          <w:szCs w:val="18"/>
        </w:rPr>
        <w:t>文件要求的国内产品参与竞争</w:t>
      </w:r>
      <w:r>
        <w:rPr>
          <w:rFonts w:hint="eastAsia" w:ascii="宋体" w:hAnsi="宋体" w:eastAsia="宋体"/>
          <w:sz w:val="24"/>
          <w:szCs w:val="18"/>
        </w:rPr>
        <w:t>。未标注进口产品的货物均</w:t>
      </w:r>
      <w:r>
        <w:rPr>
          <w:rFonts w:ascii="宋体" w:hAnsi="宋体" w:eastAsia="宋体"/>
          <w:sz w:val="24"/>
          <w:szCs w:val="18"/>
        </w:rPr>
        <w:t>为拒绝采购进口产品</w:t>
      </w:r>
      <w:r>
        <w:rPr>
          <w:rFonts w:hint="eastAsia" w:ascii="宋体" w:hAnsi="宋体" w:eastAsia="宋体"/>
          <w:sz w:val="24"/>
          <w:szCs w:val="18"/>
        </w:rPr>
        <w:t>。</w:t>
      </w:r>
    </w:p>
    <w:p w14:paraId="08A8E6A1">
      <w:pPr>
        <w:spacing w:line="360" w:lineRule="auto"/>
        <w:ind w:firstLine="435"/>
        <w:rPr>
          <w:rFonts w:hint="eastAsia" w:ascii="宋体" w:hAnsi="宋体" w:eastAsia="宋体"/>
          <w:sz w:val="24"/>
          <w:szCs w:val="18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</w:rPr>
        <w:t>）：</w:t>
      </w:r>
    </w:p>
    <w:p w14:paraId="52A46F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09575AFF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依据《环境标志产品政府采购目录》与《节能产品政府采购品目清单》</w:t>
      </w:r>
    </w:p>
    <w:p w14:paraId="774AB104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本项目强制采购清单为：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0775D221">
      <w:pPr>
        <w:spacing w:line="360" w:lineRule="auto"/>
        <w:ind w:firstLine="435"/>
        <w:rPr>
          <w:rFonts w:hint="eastAsia" w:eastAsia="宋体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优先采购清单为：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 w14:paraId="4E0AF0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7ABE8F36">
      <w:pPr>
        <w:spacing w:line="360" w:lineRule="auto"/>
        <w:ind w:firstLine="435"/>
        <w:rPr>
          <w:rFonts w:hint="eastAsia" w:ascii="宋体" w:hAnsi="宋体" w:eastAsia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18"/>
        </w:rPr>
        <w:t>如采购人允许采用分包方式履行合同的，应当明确可以分包履行的相关内容。</w:t>
      </w:r>
    </w:p>
    <w:p w14:paraId="7B8902F3">
      <w:pPr>
        <w:spacing w:line="360" w:lineRule="auto"/>
        <w:ind w:firstLine="437"/>
        <w:outlineLvl w:val="1"/>
        <w:rPr>
          <w:rFonts w:hint="eastAsia" w:ascii="宋体" w:hAnsi="宋体" w:eastAsia="宋体"/>
          <w:b/>
          <w:sz w:val="24"/>
          <w:szCs w:val="18"/>
        </w:rPr>
      </w:pPr>
      <w:bookmarkStart w:id="1" w:name="_Toc20480"/>
      <w:bookmarkStart w:id="2" w:name="_Toc26457"/>
      <w:bookmarkStart w:id="3" w:name="_Toc9631"/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  <w:bookmarkEnd w:id="1"/>
      <w:bookmarkEnd w:id="2"/>
      <w:bookmarkEnd w:id="3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4EB7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24319B0"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 w14:paraId="733D670D">
            <w:pPr>
              <w:pStyle w:val="14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15A75011">
            <w:pPr>
              <w:pStyle w:val="14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 w14:paraId="11B9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6A8B7EEC"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 w14:paraId="04911781">
            <w:pPr>
              <w:pStyle w:val="14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4D3F5554">
            <w:pPr>
              <w:pStyle w:val="14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 xml:space="preserve">合同签订，货到采购人指定地点安装调试验收合格后，收到供应商发票30个工作日内支付至合同金额100%。             </w:t>
            </w:r>
          </w:p>
        </w:tc>
      </w:tr>
      <w:tr w14:paraId="276D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0C6A6DA2"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 w14:paraId="69FC8E61">
            <w:pPr>
              <w:pStyle w:val="14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供货及安装地点</w:t>
            </w:r>
          </w:p>
        </w:tc>
        <w:tc>
          <w:tcPr>
            <w:tcW w:w="3217" w:type="pct"/>
            <w:vAlign w:val="center"/>
          </w:tcPr>
          <w:p w14:paraId="18EF17BA">
            <w:pPr>
              <w:pStyle w:val="14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  <w:lang w:val="en-US" w:eastAsia="zh-CN"/>
              </w:rPr>
              <w:t>采购人指定地点。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 xml:space="preserve">             </w:t>
            </w:r>
          </w:p>
        </w:tc>
      </w:tr>
      <w:tr w14:paraId="7C7C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FC50EDC"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 w14:paraId="05D7DBED">
            <w:pPr>
              <w:pStyle w:val="14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供货及安装期限</w:t>
            </w:r>
          </w:p>
        </w:tc>
        <w:tc>
          <w:tcPr>
            <w:tcW w:w="3217" w:type="pct"/>
            <w:vAlign w:val="center"/>
          </w:tcPr>
          <w:p w14:paraId="451CC9F2">
            <w:pPr>
              <w:pStyle w:val="14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合同签订并接到采购人通知后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0日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  <w:lang w:val="en-US" w:eastAsia="zh-CN"/>
              </w:rPr>
              <w:t>内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 xml:space="preserve">到货并安装调试完毕。             </w:t>
            </w:r>
          </w:p>
        </w:tc>
      </w:tr>
      <w:tr w14:paraId="5C44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1149A5F"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4</w:t>
            </w:r>
          </w:p>
        </w:tc>
        <w:tc>
          <w:tcPr>
            <w:tcW w:w="1192" w:type="pct"/>
            <w:vAlign w:val="center"/>
          </w:tcPr>
          <w:p w14:paraId="4E730DBF">
            <w:pPr>
              <w:pStyle w:val="14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3217" w:type="pct"/>
            <w:vAlign w:val="center"/>
          </w:tcPr>
          <w:p w14:paraId="2EE32D0F">
            <w:pPr>
              <w:pStyle w:val="14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  <w:lang w:val="en-US" w:eastAsia="zh-CN"/>
              </w:rPr>
              <w:t>3年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 xml:space="preserve">             </w:t>
            </w:r>
          </w:p>
        </w:tc>
      </w:tr>
    </w:tbl>
    <w:p w14:paraId="7C6204FD"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  <w:bookmarkStart w:id="4" w:name="_Toc8981"/>
      <w:bookmarkStart w:id="5" w:name="_Toc25805"/>
      <w:bookmarkStart w:id="6" w:name="_Toc23735"/>
      <w:r>
        <w:rPr>
          <w:rFonts w:hint="eastAsia" w:ascii="宋体" w:hAnsi="宋体" w:eastAsia="宋体"/>
          <w:b/>
          <w:bCs/>
          <w:sz w:val="24"/>
          <w:szCs w:val="18"/>
        </w:rPr>
        <w:t>二、货物需求</w:t>
      </w:r>
      <w:bookmarkEnd w:id="4"/>
      <w:bookmarkEnd w:id="5"/>
      <w:bookmarkEnd w:id="6"/>
    </w:p>
    <w:tbl>
      <w:tblPr>
        <w:tblStyle w:val="7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58"/>
        <w:gridCol w:w="2896"/>
        <w:gridCol w:w="1021"/>
        <w:gridCol w:w="717"/>
        <w:gridCol w:w="1132"/>
        <w:gridCol w:w="821"/>
      </w:tblGrid>
      <w:tr w14:paraId="5295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" w:type="pct"/>
            <w:vAlign w:val="center"/>
          </w:tcPr>
          <w:p w14:paraId="57666A6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739" w:type="pct"/>
            <w:vAlign w:val="center"/>
          </w:tcPr>
          <w:p w14:paraId="0F0CBB1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1701" w:type="pct"/>
            <w:vAlign w:val="center"/>
          </w:tcPr>
          <w:p w14:paraId="7671909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600" w:type="pct"/>
            <w:vAlign w:val="center"/>
          </w:tcPr>
          <w:p w14:paraId="7DC4854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数量（单位）</w:t>
            </w:r>
          </w:p>
        </w:tc>
        <w:tc>
          <w:tcPr>
            <w:tcW w:w="421" w:type="pct"/>
            <w:vAlign w:val="center"/>
          </w:tcPr>
          <w:p w14:paraId="773B182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665" w:type="pct"/>
            <w:vAlign w:val="center"/>
          </w:tcPr>
          <w:p w14:paraId="311AF5D3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是否为核心产品</w:t>
            </w:r>
          </w:p>
        </w:tc>
        <w:tc>
          <w:tcPr>
            <w:tcW w:w="479" w:type="pct"/>
            <w:vAlign w:val="center"/>
          </w:tcPr>
          <w:p w14:paraId="72556F2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备注</w:t>
            </w:r>
          </w:p>
        </w:tc>
      </w:tr>
      <w:tr w14:paraId="5270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92" w:type="pct"/>
            <w:vAlign w:val="center"/>
          </w:tcPr>
          <w:p w14:paraId="5EAFE1E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739" w:type="pct"/>
            <w:vAlign w:val="center"/>
          </w:tcPr>
          <w:p w14:paraId="1C79CF1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无抽搐电休克治疗仪</w:t>
            </w:r>
          </w:p>
        </w:tc>
        <w:tc>
          <w:tcPr>
            <w:tcW w:w="1701" w:type="pct"/>
            <w:vAlign w:val="center"/>
          </w:tcPr>
          <w:p w14:paraId="080A17A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适用于精神科躁狂、重度抑郁症、精神分裂、精神障碍、继发性精神障碍等症状的无抽搐电休克治疗。要求设备操作便捷，安全可靠，符合国家无抽搐电休克治疗的相关规范。</w:t>
            </w:r>
          </w:p>
        </w:tc>
        <w:tc>
          <w:tcPr>
            <w:tcW w:w="600" w:type="pct"/>
            <w:vAlign w:val="center"/>
          </w:tcPr>
          <w:p w14:paraId="0639E591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421" w:type="pct"/>
            <w:vAlign w:val="center"/>
          </w:tcPr>
          <w:p w14:paraId="7628B03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665" w:type="pct"/>
            <w:vAlign w:val="center"/>
          </w:tcPr>
          <w:p w14:paraId="11FDCF5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479" w:type="pct"/>
            <w:vAlign w:val="center"/>
          </w:tcPr>
          <w:p w14:paraId="51089CB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进口</w:t>
            </w:r>
          </w:p>
        </w:tc>
      </w:tr>
      <w:tr w14:paraId="57F2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5000" w:type="pct"/>
            <w:gridSpan w:val="7"/>
            <w:vAlign w:val="center"/>
          </w:tcPr>
          <w:p w14:paraId="607E8CB4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bookmarkStart w:id="7" w:name="_Toc18135"/>
            <w:bookmarkStart w:id="8" w:name="_Toc10566"/>
            <w:bookmarkStart w:id="9" w:name="_Toc16712"/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一、项目基本要求：</w:t>
            </w:r>
          </w:p>
          <w:p w14:paraId="2C02D95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配送由成交单位负责，产品直接到蚌埠市第四人民医院指定地点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如因产品质量问题或售后服务不当引起的医疗事故、医疗纠纷，或违反国家相关部门规定导致采购人损失的，成交单位承担事故处理及责任赔偿等相应责任。</w:t>
            </w:r>
          </w:p>
          <w:p w14:paraId="249F41AE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（2）本项目委托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蚌埠产品质量监督检验研究院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进行质量验收，检测、验收费用（包含但不限于委托第三方机构或专家检测、验收等费用）均由成交单位承担。</w:t>
            </w:r>
          </w:p>
          <w:p w14:paraId="6C43DCC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（3）质保期满后优惠提供原厂技术服务。</w:t>
            </w:r>
          </w:p>
          <w:p w14:paraId="02351075">
            <w:pPr>
              <w:spacing w:line="360" w:lineRule="auto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（4）培训要求：提供现场操作培训；免费提供省内外其他三级精神专科医院使用技能培训。</w:t>
            </w:r>
          </w:p>
        </w:tc>
      </w:tr>
    </w:tbl>
    <w:p w14:paraId="6B60FF0F"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三、报价要求</w:t>
      </w:r>
      <w:bookmarkEnd w:id="7"/>
      <w:bookmarkEnd w:id="8"/>
      <w:bookmarkEnd w:id="9"/>
    </w:p>
    <w:p w14:paraId="0325DCE3">
      <w:pPr>
        <w:spacing w:line="360" w:lineRule="auto"/>
        <w:ind w:firstLine="437"/>
        <w:rPr>
          <w:rFonts w:hint="eastAsia"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 xml:space="preserve"> </w:t>
      </w:r>
      <w:r>
        <w:rPr>
          <w:rFonts w:hint="eastAsia" w:ascii="宋体" w:hAnsi="宋体" w:eastAsia="宋体"/>
          <w:bCs/>
          <w:sz w:val="24"/>
          <w:szCs w:val="18"/>
          <w:lang w:val="en-US" w:eastAsia="zh-CN"/>
        </w:rPr>
        <w:t>供应商的报价应包含所投货物、保险、税费、包装、加工及加工损耗、运输、现场落地、安装及安装损耗、调试和交付后约定期限内免费维保等工作所发生的一切应有费用。投标报价为签订合同的依据。本项目的每轮报价均不得高于最高限价，否则视为响应无效。</w:t>
      </w:r>
    </w:p>
    <w:p w14:paraId="5E979C72"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  <w:bookmarkStart w:id="10" w:name="_Toc18721"/>
      <w:bookmarkStart w:id="11" w:name="_Toc3878"/>
      <w:bookmarkStart w:id="12" w:name="_Toc13254"/>
      <w:r>
        <w:rPr>
          <w:rFonts w:hint="eastAsia" w:ascii="宋体" w:hAnsi="宋体" w:eastAsia="宋体"/>
          <w:b/>
          <w:bCs/>
          <w:sz w:val="24"/>
          <w:szCs w:val="18"/>
        </w:rPr>
        <w:t>四、其他要求</w:t>
      </w:r>
      <w:bookmarkEnd w:id="10"/>
      <w:bookmarkEnd w:id="11"/>
      <w:bookmarkEnd w:id="12"/>
    </w:p>
    <w:p w14:paraId="7959B328">
      <w:pPr>
        <w:spacing w:line="360" w:lineRule="auto"/>
        <w:ind w:firstLine="437"/>
        <w:rPr>
          <w:rFonts w:hint="eastAsia"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 xml:space="preserve"> </w:t>
      </w:r>
      <w:r>
        <w:rPr>
          <w:rFonts w:hint="eastAsia" w:ascii="宋体" w:hAnsi="宋体" w:eastAsia="宋体"/>
          <w:bCs/>
          <w:sz w:val="24"/>
          <w:szCs w:val="18"/>
          <w:lang w:val="en-US" w:eastAsia="zh-CN"/>
        </w:rPr>
        <w:t>中标人在合同签订后须经采购人确认后方可供货，中标人需在合同签订后供货前提供采购需求中要求的相关证明材料，如无法提供或发现弄虚作假的，依法追究中标人责任，由此造成的一切损失由中标人承担。</w:t>
      </w:r>
    </w:p>
    <w:p w14:paraId="013AEC0A"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  <w:bookmarkStart w:id="13" w:name="_Toc20462"/>
      <w:bookmarkStart w:id="14" w:name="_Toc12838"/>
      <w:bookmarkStart w:id="15" w:name="_Toc12971"/>
      <w:r>
        <w:rPr>
          <w:rFonts w:hint="eastAsia" w:ascii="宋体" w:hAnsi="宋体" w:eastAsia="宋体"/>
          <w:b/>
          <w:bCs/>
          <w:sz w:val="24"/>
          <w:szCs w:val="18"/>
        </w:rPr>
        <w:t>五、样品要求</w:t>
      </w:r>
      <w:bookmarkEnd w:id="13"/>
      <w:r>
        <w:rPr>
          <w:rFonts w:hint="eastAsia" w:ascii="宋体" w:hAnsi="宋体" w:eastAsia="宋体"/>
          <w:b/>
          <w:bCs/>
          <w:sz w:val="24"/>
          <w:szCs w:val="18"/>
        </w:rPr>
        <w:t>（如有）</w:t>
      </w:r>
      <w:bookmarkEnd w:id="14"/>
      <w:bookmarkEnd w:id="15"/>
    </w:p>
    <w:p w14:paraId="4A07FEE7">
      <w:pPr>
        <w:spacing w:line="360" w:lineRule="auto"/>
        <w:ind w:firstLine="437"/>
        <w:rPr>
          <w:rFonts w:hint="eastAsia"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 xml:space="preserve"> </w:t>
      </w:r>
      <w:r>
        <w:rPr>
          <w:rFonts w:hint="eastAsia" w:ascii="宋体" w:hAnsi="宋体" w:eastAsia="宋体"/>
          <w:bCs/>
          <w:sz w:val="24"/>
          <w:szCs w:val="18"/>
          <w:lang w:val="en-US" w:eastAsia="zh-CN"/>
        </w:rPr>
        <w:t>无</w:t>
      </w:r>
      <w:r>
        <w:rPr>
          <w:rFonts w:hint="eastAsia" w:ascii="宋体" w:hAnsi="宋体" w:eastAsia="宋体"/>
          <w:bCs/>
          <w:sz w:val="24"/>
          <w:szCs w:val="18"/>
        </w:rPr>
        <w:t xml:space="preserve">          </w:t>
      </w:r>
    </w:p>
    <w:p w14:paraId="3F3FE3B6">
      <w:pPr>
        <w:spacing w:line="360" w:lineRule="auto"/>
        <w:ind w:firstLine="437"/>
        <w:rPr>
          <w:rFonts w:hint="default" w:ascii="宋体" w:hAnsi="宋体" w:eastAsia="宋体"/>
          <w:b/>
          <w:bCs w:val="0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4"/>
          <w:szCs w:val="18"/>
          <w:highlight w:val="none"/>
          <w:lang w:val="en-US" w:eastAsia="zh-CN"/>
        </w:rPr>
        <w:t>注：本章采购需求，须在响应表中实质性响应。</w:t>
      </w:r>
    </w:p>
    <w:p w14:paraId="4C7DDB54">
      <w:pPr>
        <w:spacing w:line="360" w:lineRule="auto"/>
        <w:ind w:firstLine="437"/>
        <w:rPr>
          <w:rFonts w:hint="eastAsia"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br w:type="page"/>
      </w:r>
    </w:p>
    <w:p w14:paraId="245F43BD">
      <w:bookmarkStart w:id="16" w:name="_GoBack"/>
    </w:p>
    <w:bookmarkEnd w:id="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D62"/>
    <w:rsid w:val="00F25D0D"/>
    <w:rsid w:val="02425C5B"/>
    <w:rsid w:val="05C50E5B"/>
    <w:rsid w:val="0B0D6C7C"/>
    <w:rsid w:val="0C3A2B01"/>
    <w:rsid w:val="125D0698"/>
    <w:rsid w:val="165A4ED1"/>
    <w:rsid w:val="19F619B6"/>
    <w:rsid w:val="1B9369B7"/>
    <w:rsid w:val="24360604"/>
    <w:rsid w:val="25826736"/>
    <w:rsid w:val="26E56F7C"/>
    <w:rsid w:val="27633B89"/>
    <w:rsid w:val="29957F0C"/>
    <w:rsid w:val="2BC23163"/>
    <w:rsid w:val="2FE14AB2"/>
    <w:rsid w:val="31883CDA"/>
    <w:rsid w:val="31BC74DD"/>
    <w:rsid w:val="3255537C"/>
    <w:rsid w:val="346160A8"/>
    <w:rsid w:val="3BB15FCA"/>
    <w:rsid w:val="3C1D1BA1"/>
    <w:rsid w:val="3F9A163F"/>
    <w:rsid w:val="40291362"/>
    <w:rsid w:val="44105851"/>
    <w:rsid w:val="47E377CC"/>
    <w:rsid w:val="482D1F14"/>
    <w:rsid w:val="48AD53C3"/>
    <w:rsid w:val="4A3B24CB"/>
    <w:rsid w:val="4B12476D"/>
    <w:rsid w:val="4D0652BD"/>
    <w:rsid w:val="57444BAE"/>
    <w:rsid w:val="5F5A335C"/>
    <w:rsid w:val="61D27B22"/>
    <w:rsid w:val="633D1D8C"/>
    <w:rsid w:val="6356509F"/>
    <w:rsid w:val="64983163"/>
    <w:rsid w:val="6C236422"/>
    <w:rsid w:val="6E0256C1"/>
    <w:rsid w:val="6FDD600F"/>
    <w:rsid w:val="74351A40"/>
    <w:rsid w:val="74E55BC1"/>
    <w:rsid w:val="78782D79"/>
    <w:rsid w:val="790E0E19"/>
    <w:rsid w:val="7A320D06"/>
    <w:rsid w:val="7C1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spacing w:before="120" w:beforeLines="0" w:after="120" w:afterLines="0" w:line="360" w:lineRule="auto"/>
      <w:jc w:val="left"/>
      <w:outlineLvl w:val="0"/>
    </w:pPr>
    <w:rPr>
      <w:rFonts w:ascii="Times New Roman" w:hAnsi="Times New Roman" w:eastAsia="宋体" w:cs="Arial"/>
      <w:snapToGrid w:val="0"/>
      <w:color w:val="000000"/>
      <w:kern w:val="44"/>
      <w:sz w:val="30"/>
      <w:szCs w:val="22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theme="minorBidi"/>
      <w:snapToGrid w:val="0"/>
      <w:color w:val="000000"/>
      <w:kern w:val="0"/>
      <w:sz w:val="28"/>
      <w:szCs w:val="22"/>
      <w:lang w:eastAsia="en-US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rFonts w:ascii="Times New Roman" w:hAnsi="Times New Roman" w:eastAsia="宋体" w:cstheme="minorBidi"/>
      <w:b/>
      <w:snapToGrid w:val="0"/>
      <w:color w:val="000000"/>
      <w:kern w:val="0"/>
      <w:sz w:val="28"/>
      <w:szCs w:val="22"/>
      <w:lang w:eastAsia="en-US"/>
    </w:rPr>
  </w:style>
  <w:style w:type="paragraph" w:styleId="5">
    <w:name w:val="heading 4"/>
    <w:basedOn w:val="1"/>
    <w:next w:val="1"/>
    <w:link w:val="10"/>
    <w:autoRedefine/>
    <w:semiHidden/>
    <w:unhideWhenUsed/>
    <w:qFormat/>
    <w:uiPriority w:val="0"/>
    <w:pPr>
      <w:keepNext/>
      <w:keepLines/>
      <w:spacing w:before="160" w:after="170" w:line="372" w:lineRule="auto"/>
      <w:jc w:val="left"/>
      <w:outlineLvl w:val="3"/>
    </w:pPr>
    <w:rPr>
      <w:rFonts w:ascii="Arial" w:hAnsi="Arial" w:eastAsia="宋体" w:cs="Times New Roman"/>
      <w:snapToGrid w:val="0"/>
      <w:color w:val="000000"/>
      <w:kern w:val="0"/>
      <w:sz w:val="28"/>
      <w:szCs w:val="22"/>
      <w:lang w:eastAsia="en-US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宋体" w:cstheme="minorBidi"/>
      <w:snapToGrid w:val="0"/>
      <w:color w:val="000000"/>
      <w:kern w:val="0"/>
      <w:sz w:val="28"/>
      <w:szCs w:val="22"/>
      <w:lang w:eastAsia="en-US"/>
    </w:rPr>
  </w:style>
  <w:style w:type="character" w:customStyle="1" w:styleId="10">
    <w:name w:val="标题 4 Char"/>
    <w:link w:val="5"/>
    <w:autoRedefine/>
    <w:qFormat/>
    <w:uiPriority w:val="0"/>
    <w:rPr>
      <w:rFonts w:ascii="Arial" w:hAnsi="Arial" w:eastAsia="宋体" w:cs="Times New Roman"/>
      <w:snapToGrid w:val="0"/>
      <w:color w:val="000000"/>
      <w:kern w:val="0"/>
      <w:sz w:val="28"/>
      <w:szCs w:val="22"/>
      <w:lang w:eastAsia="en-US"/>
    </w:r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宋体" w:cstheme="minorBidi"/>
      <w:snapToGrid w:val="0"/>
      <w:color w:val="000000"/>
      <w:kern w:val="0"/>
      <w:sz w:val="28"/>
      <w:szCs w:val="22"/>
      <w:lang w:eastAsia="en-US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Arial"/>
      <w:snapToGrid w:val="0"/>
      <w:color w:val="000000"/>
      <w:kern w:val="44"/>
      <w:sz w:val="30"/>
      <w:szCs w:val="22"/>
      <w:lang w:val="en-US" w:eastAsia="en-US" w:bidi="ar-SA"/>
    </w:rPr>
  </w:style>
  <w:style w:type="paragraph" w:customStyle="1" w:styleId="13">
    <w:name w:val="D&amp;L"/>
    <w:basedOn w:val="6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4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2024-07-12T01:52:00Z</dcterms:created>
  <dc:creator>Administrator</dc:creator>
  <cp:lastModifiedBy>TYJ</cp:lastModifiedBy>
  <dcterms:modified xsi:type="dcterms:W3CDTF">2025-08-06T01:57:33Z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1CC9A48F0A424F098E092F70D8AFB047_12</vt:lpwstr>
  </property>
  <property fmtid="{D5CDD505-2E9C-101B-9397-08002B2CF9AE}" pid="4" name="KSOTemplateDocerSaveRecord">
    <vt:lpwstr>eyJoZGlkIjoiYjMyMWNhOWQ4ZjUzM2Q1OGZkYzNlMzFmZjE0ZjAyOTciLCJ1c2VySWQiOiIzNTEyODM0NzEifQ==</vt:lpwstr>
  </property>
</Properties>
</file>